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D5E6DA" w14:textId="09D5E6DA" w:rsidR="00C00699" w:rsidRDefault="00031F4A">
      <w:pPr>
        <w:rPr>
          <w:sz w:val="20"/>
        </w:rPr>
      </w:pPr>
      <w:r>
        <w:rPr>
          <w:noProof/>
          <w:sz w:val="20"/>
          <w:lang w:eastAsia="hr-HR"/>
        </w:rPr>
        <w:drawing>
          <wp:anchor distT="0" distB="0" distL="114300" distR="114300" simplePos="0" relativeHeight="251657728" behindDoc="0" locked="0" layoutInCell="1" allowOverlap="1">
            <wp:simplePos x="0" y="0"/>
            <wp:positionH relativeFrom="margin">
              <wp:posOffset>960755</wp:posOffset>
            </wp:positionH>
            <wp:positionV relativeFrom="margin">
              <wp:posOffset>-412115</wp:posOffset>
            </wp:positionV>
            <wp:extent cx="476250" cy="600075"/>
            <wp:effectExtent l="0" t="0" r="0" b="9525"/>
            <wp:wrapSquare wrapText="bothSides"/>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76250" cy="600075"/>
                    </a:xfrm>
                    <a:prstGeom prst="rect">
                      <a:avLst/>
                    </a:prstGeom>
                    <a:noFill/>
                  </pic:spPr>
                </pic:pic>
              </a:graphicData>
            </a:graphic>
          </wp:anchor>
        </w:drawing>
      </w:r>
    </w:p>
    <w:tbl>
      <w:tblPr>
        <w:tblpPr w:leftFromText="180" w:rightFromText="180" w:horzAnchor="margin" w:tblpY="315"/>
        <w:tblW w:w="0" w:type="auto"/>
        <w:tblLook w:val="04A0" w:firstRow="1" w:lastRow="0" w:firstColumn="1" w:lastColumn="0" w:noHBand="0" w:noVBand="1"/>
      </w:tblPr>
      <w:tblGrid>
        <w:gridCol w:w="4077"/>
      </w:tblGrid>
      <w:tr w:rsidR="00467BFD" w:rsidRPr="00781313" w14:paraId="5467F5C6" w14:textId="77777777" w:rsidTr="00AA2546">
        <w:tc>
          <w:tcPr>
            <w:tcW w:w="4077" w:type="dxa"/>
          </w:tcPr>
          <w:p w14:paraId="28C9E0A2" w14:textId="77777777" w:rsidR="00467BFD" w:rsidRPr="00781313" w:rsidRDefault="00467BFD" w:rsidP="00AA2546">
            <w:pPr>
              <w:spacing w:before="120"/>
              <w:jc w:val="center"/>
              <w:rPr>
                <w:b/>
                <w:sz w:val="20"/>
              </w:rPr>
            </w:pPr>
            <w:r w:rsidRPr="00781313">
              <w:rPr>
                <w:b/>
                <w:sz w:val="20"/>
              </w:rPr>
              <w:t>REPUBLIKA HRVATSKA</w:t>
            </w:r>
          </w:p>
          <w:p w14:paraId="63BB6F9B" w14:textId="77777777" w:rsidR="00467BFD" w:rsidRPr="00781313" w:rsidRDefault="00467BFD" w:rsidP="00AA2546">
            <w:pPr>
              <w:jc w:val="center"/>
              <w:rPr>
                <w:b/>
                <w:sz w:val="20"/>
              </w:rPr>
            </w:pPr>
            <w:r w:rsidRPr="00781313">
              <w:rPr>
                <w:b/>
                <w:sz w:val="20"/>
              </w:rPr>
              <w:t>VRHOVNI SUD REPUBLIKE HRVATSKE</w:t>
            </w:r>
          </w:p>
          <w:p w14:paraId="28B57576" w14:textId="77777777" w:rsidR="00467BFD" w:rsidRPr="00781313" w:rsidRDefault="00467BFD" w:rsidP="00AA2546">
            <w:pPr>
              <w:jc w:val="center"/>
            </w:pPr>
            <w:r w:rsidRPr="00781313">
              <w:rPr>
                <w:b/>
                <w:sz w:val="20"/>
              </w:rPr>
              <w:t>Z A G R E B</w:t>
            </w:r>
          </w:p>
        </w:tc>
      </w:tr>
    </w:tbl>
    <w:p w14:paraId="334C98D4" w14:textId="77777777" w:rsidR="00467BFD" w:rsidRDefault="00467BFD">
      <w:pPr>
        <w:rPr>
          <w:sz w:val="20"/>
        </w:rPr>
      </w:pPr>
    </w:p>
    <w:p w14:paraId="1C8FC613" w14:textId="77777777" w:rsidR="00467BFD" w:rsidRDefault="00467BFD">
      <w:pPr>
        <w:rPr>
          <w:sz w:val="20"/>
        </w:rPr>
      </w:pPr>
    </w:p>
    <w:p w14:paraId="52AE7E33" w14:textId="77777777" w:rsidR="00467BFD" w:rsidRDefault="00467BFD">
      <w:pPr>
        <w:rPr>
          <w:sz w:val="20"/>
        </w:rPr>
      </w:pPr>
    </w:p>
    <w:p w14:paraId="0B2C4651" w14:textId="77777777" w:rsidR="00467BFD" w:rsidRDefault="00467BFD">
      <w:pPr>
        <w:rPr>
          <w:sz w:val="20"/>
        </w:rPr>
      </w:pPr>
    </w:p>
    <w:p w14:paraId="3C925875" w14:textId="77777777" w:rsidR="00467BFD" w:rsidRDefault="00467BFD">
      <w:pPr>
        <w:rPr>
          <w:sz w:val="20"/>
        </w:rPr>
      </w:pPr>
    </w:p>
    <w:p w14:paraId="555861D6" w14:textId="77777777" w:rsidR="00C00699" w:rsidRDefault="00C00699">
      <w:pPr>
        <w:jc w:val="right"/>
      </w:pPr>
      <w:r>
        <w:t xml:space="preserve">Broj: </w:t>
      </w:r>
      <w:bookmarkStart w:id="0" w:name="Broj"/>
      <w:bookmarkEnd w:id="0"/>
      <w:proofErr w:type="spellStart"/>
      <w:r w:rsidR="006543B2">
        <w:t>Revd</w:t>
      </w:r>
      <w:proofErr w:type="spellEnd"/>
      <w:r w:rsidR="006543B2">
        <w:t xml:space="preserve"> 9</w:t>
      </w:r>
      <w:r w:rsidR="00AE28C4">
        <w:t>0</w:t>
      </w:r>
      <w:r w:rsidR="006543B2">
        <w:t>/2020-2</w:t>
      </w:r>
    </w:p>
    <w:p w14:paraId="3AAE26B5" w14:textId="77777777" w:rsidR="00C00699" w:rsidRDefault="00C00699">
      <w:pPr>
        <w:jc w:val="right"/>
      </w:pPr>
    </w:p>
    <w:p w14:paraId="460FD109" w14:textId="77777777" w:rsidR="00C00699" w:rsidRDefault="00C00699">
      <w:pPr>
        <w:jc w:val="right"/>
      </w:pPr>
    </w:p>
    <w:p w14:paraId="67D31398" w14:textId="77777777" w:rsidR="00C00699" w:rsidRDefault="00C00699">
      <w:pPr>
        <w:jc w:val="right"/>
      </w:pPr>
    </w:p>
    <w:p w14:paraId="27A39971" w14:textId="77777777" w:rsidR="00206C2E" w:rsidRDefault="00206C2E" w:rsidP="00A214D3">
      <w:pPr>
        <w:jc w:val="center"/>
      </w:pPr>
      <w:bookmarkStart w:id="1" w:name="Naslov"/>
      <w:bookmarkEnd w:id="1"/>
      <w:r>
        <w:t xml:space="preserve">U   I M E   R E P U B L I K E   H R V A T S K E </w:t>
      </w:r>
    </w:p>
    <w:p w14:paraId="4A425B1E" w14:textId="77777777" w:rsidR="006543B2" w:rsidRDefault="006543B2" w:rsidP="006543B2">
      <w:pPr>
        <w:spacing w:line="360" w:lineRule="auto"/>
        <w:jc w:val="center"/>
      </w:pPr>
    </w:p>
    <w:p w14:paraId="6EAE6A48" w14:textId="77777777" w:rsidR="00C00699" w:rsidRDefault="006543B2" w:rsidP="006543B2">
      <w:pPr>
        <w:spacing w:line="360" w:lineRule="auto"/>
        <w:jc w:val="center"/>
      </w:pPr>
      <w:r>
        <w:t>R J E Š E N J E</w:t>
      </w:r>
    </w:p>
    <w:p w14:paraId="34304AF0" w14:textId="77777777" w:rsidR="00C00699" w:rsidRDefault="00C00699" w:rsidP="006543B2">
      <w:pPr>
        <w:spacing w:line="360" w:lineRule="auto"/>
        <w:jc w:val="center"/>
      </w:pPr>
    </w:p>
    <w:p w14:paraId="3BB7998D" w14:textId="77777777" w:rsidR="00AE28C4" w:rsidRDefault="006543B2" w:rsidP="00B226FA">
      <w:bookmarkStart w:id="2" w:name="Pocetak"/>
      <w:bookmarkEnd w:id="2"/>
      <w:r>
        <w:tab/>
        <w:t xml:space="preserve">Vrhovni sud Republike Hrvatske u vijeću sastavljenom od sudaca </w:t>
      </w:r>
      <w:r w:rsidR="00AE28C4">
        <w:t xml:space="preserve">Mirjane </w:t>
      </w:r>
      <w:proofErr w:type="spellStart"/>
      <w:r w:rsidR="00AE28C4">
        <w:t>Magud</w:t>
      </w:r>
      <w:proofErr w:type="spellEnd"/>
      <w:r w:rsidR="00AE28C4">
        <w:t xml:space="preserve"> predsjednice vijeća, Goranke Barać - </w:t>
      </w:r>
      <w:proofErr w:type="spellStart"/>
      <w:r w:rsidR="00AE28C4">
        <w:t>Ručević</w:t>
      </w:r>
      <w:proofErr w:type="spellEnd"/>
      <w:r w:rsidR="00AE28C4">
        <w:t xml:space="preserve"> članice vijeća i sutkinje izvjestiteljice i mr. sc. Dražena Jakovine člana vijeća, u pravnoj stvari tužiteljice Stečajne mase iza Motela Dragun d.o.o. - u stečaju, Zagreb, Hrgovići 97, OIB 84245147572, koju zastupa punomoćnik Zvonko Primorac, odvjetnik u Odvjetničkom društvu Primorac i Kalanj, Zagreb, protiv </w:t>
      </w:r>
      <w:proofErr w:type="spellStart"/>
      <w:r w:rsidR="00AE28C4">
        <w:t>prvotuženice</w:t>
      </w:r>
      <w:proofErr w:type="spellEnd"/>
      <w:r w:rsidR="00AE28C4">
        <w:t xml:space="preserve"> Republike Hrvatske, OIB 52634238587, koju zastupa Županijsko državno odvjetništvo u Karlovcu, Građansko-upravni odjel i </w:t>
      </w:r>
      <w:proofErr w:type="spellStart"/>
      <w:r w:rsidR="00AE28C4">
        <w:t>drugotuženika</w:t>
      </w:r>
      <w:proofErr w:type="spellEnd"/>
      <w:r w:rsidR="00AE28C4">
        <w:t xml:space="preserve"> Hrvatske Autoceste d.o.o., Zagreb, </w:t>
      </w:r>
      <w:proofErr w:type="spellStart"/>
      <w:r w:rsidR="00AE28C4">
        <w:t>Širolina</w:t>
      </w:r>
      <w:proofErr w:type="spellEnd"/>
      <w:r w:rsidR="00AE28C4">
        <w:t xml:space="preserve"> ulica 4, OIB 57500462912, radi isplate, odlučujući o prijedlogu tužiteljice za dopuštenje revizije protiv presude Visokog trgovačkog suda Republike Hrvatske poslovni broj Pž-61/18-5 od 18. rujna 2019., kojom je potvrđena presuda Trgovačkog suda u Zagrebu, Stalne službe u Karlovcu poslovni broj P-2195/15 od 24. studenoga 2017., na sjednici održanoj 28. listopada 2020.,</w:t>
      </w:r>
    </w:p>
    <w:p w14:paraId="0D8A9130" w14:textId="77777777" w:rsidR="00AE28C4" w:rsidRDefault="00AE28C4" w:rsidP="00B226FA"/>
    <w:p w14:paraId="17F0A58C" w14:textId="77777777" w:rsidR="00AE28C4" w:rsidRDefault="00AE28C4" w:rsidP="00B226FA">
      <w:pPr>
        <w:jc w:val="center"/>
      </w:pPr>
      <w:r>
        <w:t>r i j e š i o   j e:</w:t>
      </w:r>
    </w:p>
    <w:p w14:paraId="060BADCD" w14:textId="77777777" w:rsidR="00AE28C4" w:rsidRDefault="00AE28C4" w:rsidP="00B226FA"/>
    <w:p w14:paraId="09173EF5" w14:textId="77777777" w:rsidR="00AE28C4" w:rsidRDefault="00AE28C4" w:rsidP="00B226FA">
      <w:pPr>
        <w:ind w:firstLine="720"/>
      </w:pPr>
      <w:r>
        <w:t>Prijedlog za dopuštenje revizije odbacuje se.</w:t>
      </w:r>
    </w:p>
    <w:p w14:paraId="5BD6FA4B" w14:textId="77777777" w:rsidR="00AE28C4" w:rsidRDefault="00AE28C4" w:rsidP="00B226FA"/>
    <w:p w14:paraId="614CFF69" w14:textId="77777777" w:rsidR="00AE28C4" w:rsidRDefault="00AE28C4" w:rsidP="00B226FA"/>
    <w:p w14:paraId="61EF5C20" w14:textId="77777777" w:rsidR="00AE28C4" w:rsidRDefault="00AE28C4" w:rsidP="00B226FA">
      <w:pPr>
        <w:jc w:val="center"/>
      </w:pPr>
      <w:r>
        <w:t>Obrazloženje</w:t>
      </w:r>
    </w:p>
    <w:p w14:paraId="36AE1091" w14:textId="77777777" w:rsidR="00AE28C4" w:rsidRDefault="00AE28C4" w:rsidP="00B226FA"/>
    <w:p w14:paraId="4EBE5574" w14:textId="77777777" w:rsidR="00AE28C4" w:rsidRDefault="00AE28C4" w:rsidP="00B226FA">
      <w:pPr>
        <w:ind w:firstLine="720"/>
      </w:pPr>
      <w:r>
        <w:t>Tužiteljica je podnijela prijedlog za dopuštenje revizije protiv presude Visokog trgovačkog suda Republike Hrvatske poslovni broj Pž-61/18-5 od 18. rujna 2019., kojom je potvrđena presuda Trgovačkog suda u Zagrebu, Stalne službe u Karlovcu poslovni broj P-2195/15 od 24. studenog 2017.</w:t>
      </w:r>
    </w:p>
    <w:p w14:paraId="76E1279E" w14:textId="77777777" w:rsidR="00AE28C4" w:rsidRDefault="00AE28C4" w:rsidP="00B226FA"/>
    <w:p w14:paraId="36B9C87E" w14:textId="77777777" w:rsidR="00AE28C4" w:rsidRDefault="00AE28C4" w:rsidP="00B226FA">
      <w:pPr>
        <w:ind w:firstLine="720"/>
      </w:pPr>
      <w:proofErr w:type="spellStart"/>
      <w:r>
        <w:t>Drugotuženik</w:t>
      </w:r>
      <w:proofErr w:type="spellEnd"/>
      <w:r>
        <w:t xml:space="preserve"> je na prijedlog odgovorio, predlažući da se isti odbaci. </w:t>
      </w:r>
    </w:p>
    <w:p w14:paraId="104D596D" w14:textId="77777777" w:rsidR="00AE28C4" w:rsidRDefault="00AE28C4" w:rsidP="00B226FA"/>
    <w:p w14:paraId="026C614D" w14:textId="77777777" w:rsidR="00AE28C4" w:rsidRDefault="00AE28C4" w:rsidP="00B226FA">
      <w:pPr>
        <w:ind w:firstLine="720"/>
      </w:pPr>
      <w:r>
        <w:t>Prijedlog za dopuštenje revizije tužiteljice nije dopušten.</w:t>
      </w:r>
    </w:p>
    <w:p w14:paraId="12DD6B04" w14:textId="77777777" w:rsidR="00AE28C4" w:rsidRDefault="00AE28C4" w:rsidP="00B226FA"/>
    <w:p w14:paraId="535F3A18" w14:textId="77777777" w:rsidR="00AE28C4" w:rsidRDefault="00AE28C4" w:rsidP="00B226FA">
      <w:pPr>
        <w:ind w:firstLine="720"/>
      </w:pPr>
      <w:r>
        <w:t xml:space="preserve">Postupajući u skladu s odredbama čl. 385., čl. 385.a i čl. 387. Zakona o parničnom postupku („Narodne novine“ broj 53/91, 91/92, 112/99, 88/01, 117/03, 88/05, 2/07, 84/08, 96/08, 57/11, 148/11 - </w:t>
      </w:r>
      <w:proofErr w:type="spellStart"/>
      <w:r>
        <w:t>proč.tekst</w:t>
      </w:r>
      <w:proofErr w:type="spellEnd"/>
      <w:r>
        <w:t xml:space="preserve">, 25/13, 28/13, 89/14 i 79/19 - dalje: ZPP) vijeće Vrhovnog suda Republike Hrvatske je ocijenilo da postavljeno pitanje u prijedlogu nije važno u smislu </w:t>
      </w:r>
      <w:r>
        <w:lastRenderedPageBreak/>
        <w:t xml:space="preserve">odredbe čl. 385.a. st. 1. ZPP za odluku o sporu i za osiguranje jedinstvene primjene prava i ravnopravnosti svih u njegovoj primjeni ili za razvoj prava kroz sudsku praksu. </w:t>
      </w:r>
    </w:p>
    <w:p w14:paraId="074479B2" w14:textId="77777777" w:rsidR="002E04D7" w:rsidRDefault="002E04D7" w:rsidP="00B226FA">
      <w:pPr>
        <w:ind w:firstLine="720"/>
      </w:pPr>
    </w:p>
    <w:p w14:paraId="68FD665F" w14:textId="77777777" w:rsidR="00AE28C4" w:rsidRDefault="00AE28C4" w:rsidP="00B226FA">
      <w:pPr>
        <w:ind w:firstLine="720"/>
      </w:pPr>
      <w:r>
        <w:t>Naime, tužiteljica je u prijedlogu postavila slijedeće pitanje:</w:t>
      </w:r>
    </w:p>
    <w:p w14:paraId="5C4D3A01" w14:textId="77777777" w:rsidR="002E04D7" w:rsidRDefault="002E04D7" w:rsidP="00B226FA">
      <w:pPr>
        <w:ind w:firstLine="720"/>
      </w:pPr>
    </w:p>
    <w:p w14:paraId="19B71CFF" w14:textId="77777777" w:rsidR="00AE28C4" w:rsidRDefault="00AE28C4" w:rsidP="00B226FA">
      <w:pPr>
        <w:ind w:firstLine="720"/>
      </w:pPr>
      <w:r>
        <w:t>- Počinje li zastara zahtjeva za isplatu naknade za nekretninu koja je postala opće dobro temeljem Zakona o javnim cestama (NN 100/96, 76/98, 27/01, 114/01, 117/01, 65/02, 180/04), a nije proveden postupak izvlaštenja, teći od stupanja na snagu tog zakona, dakle od 6.12.1996. ili od uzimanja iz posjeda?</w:t>
      </w:r>
    </w:p>
    <w:p w14:paraId="20E013F1" w14:textId="77777777" w:rsidR="002E04D7" w:rsidRDefault="002E04D7" w:rsidP="00B226FA"/>
    <w:p w14:paraId="4F69CBF5" w14:textId="77777777" w:rsidR="00AE28C4" w:rsidRDefault="00AE28C4" w:rsidP="00B226FA">
      <w:pPr>
        <w:ind w:firstLine="720"/>
      </w:pPr>
      <w:r>
        <w:t xml:space="preserve">Međutim, riječ je o pravnom pitanju s o kojemu je ovaj revizijski sud zauzeo pravno shvaćanje u nizu odluka, među ostalim i u odluci koju navodi sama </w:t>
      </w:r>
      <w:proofErr w:type="spellStart"/>
      <w:r>
        <w:t>predlagateljica</w:t>
      </w:r>
      <w:proofErr w:type="spellEnd"/>
      <w:r>
        <w:t xml:space="preserve"> u prijedlogu – u presudi poslovni broj </w:t>
      </w:r>
      <w:proofErr w:type="spellStart"/>
      <w:r>
        <w:t>Revx</w:t>
      </w:r>
      <w:proofErr w:type="spellEnd"/>
      <w:r>
        <w:t xml:space="preserve"> 311/17-2 od 7. lipnja 2017., u kojoj je navedeno:</w:t>
      </w:r>
    </w:p>
    <w:p w14:paraId="28C253D1" w14:textId="77777777" w:rsidR="00AE28C4" w:rsidRDefault="00AE28C4" w:rsidP="00B226FA">
      <w:r>
        <w:t>„Pravilno su sudovi ocijenili da tužitelji više nemaju pravo zahtijevati povrat navedenih nekretnina budući je činidba na predaju navedenih nekretnina postala nemoguća jer je na navedenim nekretninama izgrađen javni put.</w:t>
      </w:r>
    </w:p>
    <w:p w14:paraId="42163C49" w14:textId="77777777" w:rsidR="00AE28C4" w:rsidRDefault="00AE28C4" w:rsidP="00B226FA">
      <w:r>
        <w:t xml:space="preserve"> </w:t>
      </w:r>
    </w:p>
    <w:p w14:paraId="6A13A1AC" w14:textId="77777777" w:rsidR="00AE28C4" w:rsidRDefault="00AE28C4" w:rsidP="00B226FA">
      <w:pPr>
        <w:ind w:firstLine="720"/>
      </w:pPr>
      <w:r>
        <w:t xml:space="preserve">Prema ocjeni Vrhovnog suda Republike Hrvatske, </w:t>
      </w:r>
      <w:proofErr w:type="spellStart"/>
      <w:r>
        <w:t>zastarni</w:t>
      </w:r>
      <w:proofErr w:type="spellEnd"/>
      <w:r>
        <w:t xml:space="preserve"> rok počinje teći upravo onda kada tužitelji više nisu mogli zahtijevati povrat nekretnine jer je na zemljištu tužitelja izgrađena cesta. Tijekom postupka je utvrđeno da je cesta odnosno javni put izgrađen unazad 40 godina prije podnošenja tužbe.</w:t>
      </w:r>
    </w:p>
    <w:p w14:paraId="0E2E2592" w14:textId="77777777" w:rsidR="00AE28C4" w:rsidRDefault="00AE28C4" w:rsidP="00B226FA">
      <w:r>
        <w:t xml:space="preserve"> </w:t>
      </w:r>
    </w:p>
    <w:p w14:paraId="1B63FC9A" w14:textId="77777777" w:rsidR="00AE28C4" w:rsidRDefault="00AE28C4" w:rsidP="00B226FA">
      <w:pPr>
        <w:ind w:firstLine="720"/>
      </w:pPr>
      <w:r>
        <w:t xml:space="preserve">Stoga bez obzira na to je li zahtjev tužitelja dospio prije 1. listopada 1978. kada je na snazi bio Zakon o zastari potraživanja ("Službeni list FNRJ" broj 40/53, 57/54) koji je odredbom čl. 14. propisivao opći </w:t>
      </w:r>
      <w:proofErr w:type="spellStart"/>
      <w:r>
        <w:t>zastarni</w:t>
      </w:r>
      <w:proofErr w:type="spellEnd"/>
      <w:r>
        <w:t xml:space="preserve"> rok od 10 godina, ili poslije tog datuma kad je u primjeni bio Zakon o obveznim odnosima ("Narodne novine" broj 53/91, 73/91, 3/94, 7/96, 112/99 – dalje: ZOO/78), koji je u odredbi čl. 371.  propisivao opći </w:t>
      </w:r>
      <w:proofErr w:type="spellStart"/>
      <w:r>
        <w:t>zastarni</w:t>
      </w:r>
      <w:proofErr w:type="spellEnd"/>
      <w:r>
        <w:t xml:space="preserve"> rok od 5 godina, polazeći od činjenice o vremenu kada je predmetna prometnica sagrađena, te imajući na umu da je tužba u ovoj pravnoj stvari podnesena 20. rujna 2004., za zaključiti je da je zahtjev tužitelja u svakom slučaju zastario prije podnošenja tužbe (...)“.</w:t>
      </w:r>
    </w:p>
    <w:p w14:paraId="65DE5A03" w14:textId="77777777" w:rsidR="00AE28C4" w:rsidRDefault="00AE28C4" w:rsidP="00B226FA"/>
    <w:p w14:paraId="1E301C87" w14:textId="77777777" w:rsidR="006543B2" w:rsidRDefault="00AE28C4" w:rsidP="00B226FA">
      <w:pPr>
        <w:ind w:firstLine="720"/>
      </w:pPr>
      <w:r>
        <w:t>Pobijana odluka donesena je dakle u skladu s izraženim, ustaljenim pravnim shvaćanjem Vrhovnog suda Republike Hrvatske pa je valjalo, na temelju odredbe čl. 392. st. 1. u vezi s čl. 387. st. 6. ZPP, riješiti kao u izreci.</w:t>
      </w:r>
    </w:p>
    <w:p w14:paraId="36C32F0D" w14:textId="77777777" w:rsidR="006543B2" w:rsidRDefault="006543B2" w:rsidP="00B226FA"/>
    <w:p w14:paraId="78F0CE8D" w14:textId="77777777" w:rsidR="006543B2" w:rsidRDefault="00031F4A" w:rsidP="00B226FA">
      <w:pPr>
        <w:jc w:val="center"/>
      </w:pPr>
      <w:r>
        <w:t>Zagreb,</w:t>
      </w:r>
      <w:r w:rsidR="006543B2">
        <w:t xml:space="preserve"> </w:t>
      </w:r>
      <w:r w:rsidR="002E04D7">
        <w:t>28</w:t>
      </w:r>
      <w:r w:rsidR="006543B2">
        <w:t>. listopada 2020.</w:t>
      </w:r>
    </w:p>
    <w:p w14:paraId="4930E657" w14:textId="77777777" w:rsidR="006543B2" w:rsidRDefault="006543B2" w:rsidP="00B226FA"/>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20"/>
        <w:gridCol w:w="3366"/>
      </w:tblGrid>
      <w:tr w:rsidR="00B226FA" w14:paraId="0D0D6994" w14:textId="77777777">
        <w:tc>
          <w:tcPr>
            <w:tcW w:w="5920" w:type="dxa"/>
            <w:tcBorders>
              <w:top w:val="nil"/>
              <w:left w:val="nil"/>
              <w:bottom w:val="nil"/>
              <w:right w:val="nil"/>
            </w:tcBorders>
          </w:tcPr>
          <w:p w14:paraId="74017FD4" w14:textId="77777777" w:rsidR="00B226FA" w:rsidRDefault="00B226FA"/>
        </w:tc>
        <w:tc>
          <w:tcPr>
            <w:tcW w:w="3366" w:type="dxa"/>
            <w:tcBorders>
              <w:top w:val="nil"/>
              <w:left w:val="nil"/>
              <w:bottom w:val="nil"/>
              <w:right w:val="nil"/>
            </w:tcBorders>
          </w:tcPr>
          <w:p w14:paraId="7891DB41" w14:textId="77777777" w:rsidR="00B226FA" w:rsidRDefault="00B226FA">
            <w:r>
              <w:t>Predsjednica vijeća:</w:t>
            </w:r>
          </w:p>
          <w:p w14:paraId="0E95348B" w14:textId="77777777" w:rsidR="00B226FA" w:rsidRDefault="00B226FA" w:rsidP="001463FD">
            <w:r>
              <w:t xml:space="preserve">Mirjana </w:t>
            </w:r>
            <w:proofErr w:type="spellStart"/>
            <w:r>
              <w:t>Magud</w:t>
            </w:r>
            <w:proofErr w:type="spellEnd"/>
            <w:r>
              <w:t>, v.r.</w:t>
            </w:r>
          </w:p>
        </w:tc>
      </w:tr>
    </w:tbl>
    <w:p w14:paraId="56980544" w14:textId="77777777" w:rsidR="00B226FA" w:rsidRDefault="00B226FA" w:rsidP="004F0589"/>
    <w:tbl>
      <w:tblPr>
        <w:tblW w:w="0" w:type="auto"/>
        <w:tblInd w:w="4219" w:type="dxa"/>
        <w:tblBorders>
          <w:insideV w:val="single" w:sz="4" w:space="0" w:color="auto"/>
        </w:tblBorders>
        <w:tblLayout w:type="fixed"/>
        <w:tblLook w:val="0000" w:firstRow="0" w:lastRow="0" w:firstColumn="0" w:lastColumn="0" w:noHBand="0" w:noVBand="0"/>
      </w:tblPr>
      <w:tblGrid>
        <w:gridCol w:w="5068"/>
      </w:tblGrid>
      <w:tr w:rsidR="00B226FA" w14:paraId="2E3FB82D" w14:textId="77777777">
        <w:tc>
          <w:tcPr>
            <w:tcW w:w="5068" w:type="dxa"/>
          </w:tcPr>
          <w:p w14:paraId="210EEBE1" w14:textId="77777777" w:rsidR="00B226FA" w:rsidRDefault="00B226FA">
            <w:pPr>
              <w:jc w:val="center"/>
            </w:pPr>
            <w:r>
              <w:t>ZA TOČNOST OTPRAVKA</w:t>
            </w:r>
          </w:p>
          <w:p w14:paraId="547BD8F9" w14:textId="77777777" w:rsidR="00B226FA" w:rsidRDefault="00B226FA">
            <w:pPr>
              <w:jc w:val="center"/>
            </w:pPr>
            <w:r>
              <w:t>Ovlašteni službenik:</w:t>
            </w:r>
          </w:p>
        </w:tc>
      </w:tr>
      <w:tr w:rsidR="00B226FA" w14:paraId="1B8A0A7E" w14:textId="77777777">
        <w:tc>
          <w:tcPr>
            <w:tcW w:w="5068" w:type="dxa"/>
          </w:tcPr>
          <w:p w14:paraId="5D896984" w14:textId="77777777" w:rsidR="00B226FA" w:rsidRDefault="00B226FA">
            <w:pPr>
              <w:jc w:val="center"/>
            </w:pPr>
            <w:r>
              <w:t>Voditelj Pisarnice za prijem i otpremu</w:t>
            </w:r>
          </w:p>
          <w:p w14:paraId="7BA1DE9E" w14:textId="77777777" w:rsidR="00B226FA" w:rsidRDefault="00B226FA">
            <w:pPr>
              <w:jc w:val="center"/>
            </w:pPr>
          </w:p>
          <w:p w14:paraId="0BE6424C" w14:textId="77777777" w:rsidR="00B226FA" w:rsidRDefault="00B226FA">
            <w:pPr>
              <w:jc w:val="center"/>
            </w:pPr>
            <w:r>
              <w:t>Mirko Paša</w:t>
            </w:r>
          </w:p>
        </w:tc>
      </w:tr>
    </w:tbl>
    <w:p w14:paraId="19C1560C" w14:textId="77777777" w:rsidR="006543B2" w:rsidRDefault="006543B2" w:rsidP="00B226FA"/>
    <w:p w14:paraId="290ECEC5" w14:textId="77777777" w:rsidR="00C00699" w:rsidRDefault="00C00699" w:rsidP="00B226FA"/>
    <w:sectPr w:rsidR="00C00699" w:rsidSect="00A50864">
      <w:headerReference w:type="default" r:id="rId8"/>
      <w:pgSz w:w="11906" w:h="16838"/>
      <w:pgMar w:top="1985" w:right="1418" w:bottom="1418" w:left="1418" w:header="964" w:footer="720" w:gutter="0"/>
      <w:paperSrc w:first="279"/>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B419CB" w14:textId="77777777" w:rsidR="00603123" w:rsidRDefault="00603123">
      <w:r>
        <w:separator/>
      </w:r>
    </w:p>
  </w:endnote>
  <w:endnote w:type="continuationSeparator" w:id="0">
    <w:p w14:paraId="5CFB66F5" w14:textId="77777777" w:rsidR="00603123" w:rsidRDefault="006031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845C82" w14:textId="77777777" w:rsidR="00603123" w:rsidRDefault="00603123">
      <w:r>
        <w:separator/>
      </w:r>
    </w:p>
  </w:footnote>
  <w:footnote w:type="continuationSeparator" w:id="0">
    <w:p w14:paraId="6AB65CCB" w14:textId="77777777" w:rsidR="00603123" w:rsidRDefault="006031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C49F6D" w14:textId="77777777" w:rsidR="006543B2" w:rsidRDefault="006543B2">
    <w:pPr>
      <w:pStyle w:val="Header"/>
    </w:pPr>
    <w:r>
      <w:tab/>
      <w:t xml:space="preserve">- </w:t>
    </w:r>
    <w:r>
      <w:fldChar w:fldCharType="begin"/>
    </w:r>
    <w:r>
      <w:instrText xml:space="preserve"> PAGE  \* MERGEFORMAT </w:instrText>
    </w:r>
    <w:r>
      <w:fldChar w:fldCharType="separate"/>
    </w:r>
    <w:r w:rsidR="00B226FA">
      <w:rPr>
        <w:noProof/>
      </w:rPr>
      <w:t>2</w:t>
    </w:r>
    <w:r>
      <w:fldChar w:fldCharType="end"/>
    </w:r>
    <w:r>
      <w:t xml:space="preserve"> -</w:t>
    </w:r>
    <w:r>
      <w:tab/>
    </w:r>
    <w:proofErr w:type="spellStart"/>
    <w:r>
      <w:t>Revd</w:t>
    </w:r>
    <w:proofErr w:type="spellEnd"/>
    <w:r>
      <w:t xml:space="preserve"> 9</w:t>
    </w:r>
    <w:r w:rsidR="00AE28C4">
      <w:t>0</w:t>
    </w:r>
    <w:r>
      <w:t>/2020-2</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43B2"/>
    <w:rsid w:val="00031F4A"/>
    <w:rsid w:val="000A56E6"/>
    <w:rsid w:val="000B1D67"/>
    <w:rsid w:val="001C5F8F"/>
    <w:rsid w:val="001E4195"/>
    <w:rsid w:val="00206C2E"/>
    <w:rsid w:val="002776FC"/>
    <w:rsid w:val="002D4BDE"/>
    <w:rsid w:val="002E04D7"/>
    <w:rsid w:val="00314C88"/>
    <w:rsid w:val="00373474"/>
    <w:rsid w:val="00467BFD"/>
    <w:rsid w:val="004F1DE7"/>
    <w:rsid w:val="005B75D4"/>
    <w:rsid w:val="00603123"/>
    <w:rsid w:val="006322D8"/>
    <w:rsid w:val="006543B2"/>
    <w:rsid w:val="00690173"/>
    <w:rsid w:val="006A7398"/>
    <w:rsid w:val="006E2867"/>
    <w:rsid w:val="007B0D20"/>
    <w:rsid w:val="009401B4"/>
    <w:rsid w:val="00A327E9"/>
    <w:rsid w:val="00A50864"/>
    <w:rsid w:val="00AA2546"/>
    <w:rsid w:val="00AE28C4"/>
    <w:rsid w:val="00B226FA"/>
    <w:rsid w:val="00C00699"/>
    <w:rsid w:val="00DB4099"/>
    <w:rsid w:val="00EB3AD2"/>
    <w:rsid w:val="00F37BAA"/>
    <w:rsid w:val="00F825A1"/>
    <w:rsid w:val="00FB51B5"/>
    <w:rsid w:val="00FF34A8"/>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AD9EAF99-565F-445E-A702-F978ADB125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hr-HR" w:eastAsia="hr-H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jc w:val="both"/>
    </w:pPr>
    <w:rPr>
      <w:sz w:val="24"/>
      <w:lang w:eastAsia="en-US"/>
    </w:rPr>
  </w:style>
  <w:style w:type="paragraph" w:styleId="Heading1">
    <w:name w:val="heading 1"/>
    <w:basedOn w:val="Normal"/>
    <w:next w:val="Normal"/>
    <w:qFormat/>
    <w:pPr>
      <w:keepNext/>
      <w:outlineLvl w:val="0"/>
    </w:pPr>
    <w:rPr>
      <w:b/>
      <w:sz w:val="20"/>
    </w:rPr>
  </w:style>
  <w:style w:type="paragraph" w:styleId="Heading2">
    <w:name w:val="heading 2"/>
    <w:basedOn w:val="Normal"/>
    <w:next w:val="Normal"/>
    <w:qFormat/>
    <w:pPr>
      <w:keepNext/>
      <w:jc w:val="center"/>
      <w:outlineLvl w:val="1"/>
    </w:pPr>
    <w:rPr>
      <w:b/>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536"/>
        <w:tab w:val="right" w:pos="9072"/>
      </w:tabs>
    </w:pPr>
  </w:style>
  <w:style w:type="paragraph" w:styleId="Footer">
    <w:name w:val="footer"/>
    <w:basedOn w:val="Normal"/>
    <w:pPr>
      <w:tabs>
        <w:tab w:val="center" w:pos="4536"/>
        <w:tab w:val="right" w:pos="9072"/>
      </w:tabs>
    </w:pPr>
  </w:style>
  <w:style w:type="paragraph" w:styleId="BalloonText">
    <w:name w:val="Balloon Text"/>
    <w:basedOn w:val="Normal"/>
    <w:semiHidden/>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Predmet.FunkcijaOsobe>
    <izvorni_sadrzaj/>
    <derivirana_varijabla naziv="DomainObject.Predmet.FunkcijaOsobe_1"/>
  </DomainObject.Predmet.FunkcijaOsobe>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
    <derivirana_varijabla naziv="DomainObject.Predmet.DatumPocetkaProcesa_1"/>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derivirana_varijabla naziv="DomainObject.NarodneNovineList_1">
      <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derivirana_varijabla naziv="DomainObject.OpcinskiSudoviList_1">
      <item/>
    </derivirana_varijabla>
  </DomainObject.OpcinskiSudoviList>
  <DomainObject.PolicijskeUpraveList>
    <izvorni_sadrzaj/>
    <derivirana_varijabla naziv="DomainObject.PolicijskeUpraveList_1">
      <item/>
    </derivirana_varijabla>
  </DomainObject.PolicijskeUpraveList>
  <DomainObject.PolicijskePostajeList>
    <izvorni_sadrzaj/>
    <derivirana_varijabla naziv="DomainObject.PolicijskePostajeList_1">
      <item/>
    </derivirana_varijabla>
  </DomainObject.PolicijskePostajeList>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663</Words>
  <Characters>3784</Characters>
  <Application>Microsoft Office Word</Application>
  <DocSecurity>0</DocSecurity>
  <Lines>31</Lines>
  <Paragraphs>8</Paragraphs>
  <ScaleCrop>false</ScaleCrop>
  <HeadingPairs>
    <vt:vector size="2" baseType="variant">
      <vt:variant>
        <vt:lpstr>Naslov</vt:lpstr>
      </vt:variant>
      <vt:variant>
        <vt:i4>1</vt:i4>
      </vt:variant>
    </vt:vector>
  </HeadingPairs>
  <TitlesOfParts>
    <vt:vector size="1" baseType="lpstr">
      <vt:lpstr>REPUBLIKA HRVATSKA</vt:lpstr>
    </vt:vector>
  </TitlesOfParts>
  <Company>MINIST. PRAVOSUĐA RH</Company>
  <LinksUpToDate>false</LinksUpToDate>
  <CharactersWithSpaces>4439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REPUBLIKA HRVATSKA</dc:title>
  <dc:creator>Rokić, Andrea</dc:creator>
  <cp:lastModifiedBy>Zvonimir Đuran</cp:lastModifiedBy>
  <cp:revision>2</cp:revision>
  <cp:lastPrinted>2020-10-28T14:00:00Z</cp:lastPrinted>
  <dcterms:created xsi:type="dcterms:W3CDTF">2021-05-31T16:48:00Z</dcterms:created>
  <dcterms:modified xsi:type="dcterms:W3CDTF">2021-05-31T16:48:00Z</dcterms:modified>
</cp:coreProperties>
</file>